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Списки документов Нефтегазового комплекса в сентябре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vanish/>
          <w:color w:val="000000"/>
          <w:sz w:val="24"/>
          <w:szCs w:val="24"/>
          <w:u w:val="single"/>
        </w:rPr>
        <w:t>#G0#M12291 461400001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Нормы, правила, стандарты по нефтегазовому комплексу</w:t>
      </w:r>
      <w:r>
        <w:rPr>
          <w:rFonts w:cs="Times New Roman" w:ascii="Times New Roman" w:hAnsi="Times New Roman"/>
          <w:vanish/>
          <w:color w:val="000000"/>
          <w:sz w:val="24"/>
          <w:szCs w:val="24"/>
          <w:u w:val="single"/>
        </w:rPr>
        <w:t>#S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vanish/>
          <w:color w:val="000000"/>
          <w:sz w:val="24"/>
          <w:szCs w:val="24"/>
        </w:rPr>
        <w:t>#P 3 0 1 3 1200180422 1200180442 1200180444 0000#G0</w:t>
      </w:r>
      <w:r>
        <w:rPr/>
        <w:drawing>
          <wp:inline distT="0" distB="9525" distL="0" distR="0">
            <wp:extent cx="180975" cy="180975"/>
            <wp:effectExtent l="0" t="0" r="0" b="0"/>
            <wp:docPr id="1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hyperlink r:id="rId3">
        <w:r>
          <w:rPr>
            <w:rStyle w:val="Style15"/>
            <w:rFonts w:cs="Times New Roman" w:ascii="Times New Roman" w:hAnsi="Times New Roman"/>
            <w:sz w:val="24"/>
            <w:szCs w:val="24"/>
          </w:rPr>
          <w:t>ГОСТ Р 59374.5-2021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(ИСО 4126-5:2013) «Устройства предохранительные для защиты от избыточного давления. Часть 5. Регулируемые предохранительные системы сброса давления (CSPRS)».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  <w:vertAlign w:val="subscript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vertAlign w:val="subscript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9525" distL="0" distR="0">
            <wp:extent cx="180975" cy="180975"/>
            <wp:effectExtent l="0" t="0" r="0" b="0"/>
            <wp:docPr id="2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hyperlink r:id="rId5">
        <w:r>
          <w:rPr>
            <w:rStyle w:val="Style15"/>
            <w:rFonts w:cs="Times New Roman" w:ascii="Times New Roman" w:hAnsi="Times New Roman"/>
            <w:sz w:val="24"/>
            <w:szCs w:val="24"/>
          </w:rPr>
          <w:t>ГОСТ Р 59374.7-2021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(ИСО 4126-7:2013) «Устройства предохранительные для защиты от избыточного давления. Часть 7. Общие данные».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vertAlign w:val="superscript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9525" distL="0" distR="0">
            <wp:extent cx="180975" cy="180975"/>
            <wp:effectExtent l="0" t="0" r="0" b="0"/>
            <wp:docPr id="3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hyperlink r:id="rId7">
        <w:r>
          <w:rPr>
            <w:rStyle w:val="Style15"/>
            <w:rFonts w:cs="Times New Roman" w:ascii="Times New Roman" w:hAnsi="Times New Roman"/>
            <w:sz w:val="24"/>
            <w:szCs w:val="24"/>
          </w:rPr>
          <w:t>ГОСТ Р 59374.6-2021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(ИСО 4126-6:2014) «Устройства предохранительные для защиты от избыточного давления. Часть 6. Применение, выбор и установка предохранительных устройств с разрывной мембраной».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vanish/>
          <w:color w:val="000000"/>
          <w:sz w:val="24"/>
          <w:szCs w:val="24"/>
        </w:rPr>
        <w:t>#E</w:t>
      </w:r>
      <w:r>
        <w:rPr>
          <w:rFonts w:cs="Times New Roman" w:ascii="Times New Roman" w:hAnsi="Times New Roman"/>
          <w:vanish/>
          <w:color w:val="000000"/>
          <w:sz w:val="24"/>
          <w:szCs w:val="24"/>
        </w:rPr>
        <w:t>#P 3 0 1 1 1200180502 0000#G0</w:t>
      </w:r>
      <w:r>
        <w:rPr/>
        <w:drawing>
          <wp:inline distT="0" distB="9525" distL="0" distR="0">
            <wp:extent cx="180975" cy="180975"/>
            <wp:effectExtent l="0" t="0" r="0" b="0"/>
            <wp:docPr id="4" name="Рисунок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>
        <w:r>
          <w:rPr>
            <w:rStyle w:val="Style15"/>
            <w:rFonts w:cs="Times New Roman" w:ascii="Times New Roman" w:hAnsi="Times New Roman"/>
            <w:sz w:val="24"/>
            <w:szCs w:val="24"/>
          </w:rPr>
          <w:t>ГОСТ 12852.5-2020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«Бетон ячеистый. Метод определения коэффициента паропроницаемости».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iCs/>
          <w:vanish/>
          <w:color w:val="000000"/>
          <w:sz w:val="24"/>
          <w:szCs w:val="24"/>
        </w:rPr>
        <w:t>#E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vanish/>
          <w:color w:val="000000"/>
          <w:sz w:val="24"/>
          <w:szCs w:val="24"/>
          <w:u w:val="single"/>
        </w:rPr>
        <w:t>#G0#M12291 461700002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Основы правового регулирования нефтегазового комплекса</w:t>
      </w:r>
      <w:r>
        <w:rPr>
          <w:rFonts w:cs="Times New Roman" w:ascii="Times New Roman" w:hAnsi="Times New Roman"/>
          <w:vanish/>
          <w:color w:val="000000"/>
          <w:sz w:val="24"/>
          <w:szCs w:val="24"/>
          <w:u w:val="single"/>
        </w:rPr>
        <w:t>#S</w:t>
      </w:r>
      <w:r>
        <w:rPr>
          <w:rFonts w:cs="Times New Roman" w:ascii="Times New Roman" w:hAnsi="Times New Roman"/>
          <w:vanish/>
          <w:color w:val="000000"/>
          <w:sz w:val="24"/>
          <w:szCs w:val="24"/>
        </w:rPr>
        <w:t>#P 3 0 1 3 566434803 566484143 573037692 0100010000001010000000000000000000000000FFFFFFFF#G0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vanish/>
          <w:color w:val="000000"/>
          <w:sz w:val="24"/>
          <w:szCs w:val="24"/>
        </w:rPr>
        <w:t>#P 3 0 1 6 607771873 607857190 607857191 607857192 608188953 608188954 0100010000001010000000000000000000000000FFFFFFFF#G0</w:t>
      </w:r>
      <w:r>
        <w:rPr/>
        <w:drawing>
          <wp:inline distT="0" distB="9525" distL="0" distR="0">
            <wp:extent cx="180975" cy="180975"/>
            <wp:effectExtent l="0" t="0" r="0" b="0"/>
            <wp:docPr id="5" name="Рисунок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hyperlink r:id="rId11">
        <w:r>
          <w:rPr>
            <w:rStyle w:val="Style15"/>
            <w:rFonts w:cs="Times New Roman" w:ascii="Times New Roman" w:hAnsi="Times New Roman"/>
            <w:sz w:val="24"/>
            <w:szCs w:val="24"/>
          </w:rPr>
          <w:t>Приказ Минпромторга России от 30.06.2021 N 2362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«Об утверждении Плана мероприятий по импортозамещению в отрасли нефтегазового машиностроения Российской Федерации на период до 2024 года».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9525" distL="0" distR="0">
            <wp:extent cx="180975" cy="180975"/>
            <wp:effectExtent l="0" t="0" r="0" b="0"/>
            <wp:docPr id="6" name="Рисунок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hyperlink r:id="rId13">
        <w:r>
          <w:rPr>
            <w:rStyle w:val="Style15"/>
            <w:rFonts w:cs="Times New Roman" w:ascii="Times New Roman" w:hAnsi="Times New Roman"/>
            <w:sz w:val="24"/>
            <w:szCs w:val="24"/>
          </w:rPr>
          <w:t>Письмо Росстандарта от 05.08.2021 N 2893-ОГ/03</w:t>
        </w:r>
      </w:hyperlink>
      <w:r>
        <w:rPr>
          <w:rFonts w:cs="Times New Roman" w:ascii="Times New Roman" w:hAnsi="Times New Roman"/>
          <w:b/>
          <w:bCs/>
          <w:color w:val="0000FF"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«Об опечатке в ГОСТ 1756-2000».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9525" distL="0" distR="0">
            <wp:extent cx="180975" cy="180975"/>
            <wp:effectExtent l="0" t="0" r="0" b="0"/>
            <wp:docPr id="7" name="Рисунок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9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hyperlink r:id="rId15">
        <w:r>
          <w:rPr>
            <w:rStyle w:val="Style15"/>
            <w:rFonts w:cs="Times New Roman" w:ascii="Times New Roman" w:hAnsi="Times New Roman"/>
            <w:sz w:val="24"/>
            <w:szCs w:val="24"/>
          </w:rPr>
          <w:t>Письмо Росстандарта от 05.08.2021 N 2898-ОГ/05</w:t>
        </w:r>
      </w:hyperlink>
      <w:r>
        <w:rPr>
          <w:rFonts w:cs="Times New Roman" w:ascii="Times New Roman" w:hAnsi="Times New Roman"/>
          <w:b/>
          <w:bCs/>
          <w:color w:val="0000FF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«</w:t>
      </w:r>
      <w:r>
        <w:rPr>
          <w:rFonts w:cs="Times New Roman" w:ascii="Times New Roman" w:hAnsi="Times New Roman"/>
          <w:color w:val="000000"/>
          <w:sz w:val="24"/>
          <w:szCs w:val="24"/>
        </w:rPr>
        <w:t>Об опечатке в РМГ 94-2009».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vanish/>
          <w:color w:val="000000"/>
          <w:sz w:val="24"/>
          <w:szCs w:val="24"/>
        </w:rPr>
        <w:t>#E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vanish/>
          <w:color w:val="000000"/>
          <w:sz w:val="24"/>
          <w:szCs w:val="24"/>
        </w:rPr>
        <w:t>#E#E#E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vanish/>
          <w:color w:val="000000"/>
          <w:sz w:val="24"/>
          <w:szCs w:val="24"/>
          <w:u w:val="single"/>
        </w:rPr>
        <w:t>#G0#M12291 496700001</w:t>
      </w:r>
      <w:r>
        <w:rPr>
          <w:rFonts w:cs="Times New Roman" w:ascii="Times New Roman" w:hAnsi="Times New Roman"/>
          <w:color w:val="000000"/>
          <w:sz w:val="24"/>
          <w:szCs w:val="24"/>
          <w:u w:val="none"/>
        </w:rPr>
        <w:t>Комментарии, статьи, консультации по нефтегазовому комплексу</w:t>
      </w:r>
      <w:r>
        <w:rPr>
          <w:rFonts w:cs="Times New Roman" w:ascii="Times New Roman" w:hAnsi="Times New Roman"/>
          <w:vanish/>
          <w:color w:val="000000"/>
          <w:sz w:val="24"/>
          <w:szCs w:val="24"/>
          <w:u w:val="single"/>
        </w:rPr>
        <w:t>#S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vanish/>
          <w:color w:val="000000"/>
          <w:sz w:val="24"/>
          <w:szCs w:val="24"/>
        </w:rPr>
        <w:t>#P 3 0 1 5 608188893 608188894 608188895 608225231 608229308 0100010000001010000000000000000000000000FFFFFFFF#G0</w:t>
      </w:r>
      <w:r>
        <w:rPr/>
        <w:drawing>
          <wp:inline distT="0" distB="9525" distL="0" distR="0">
            <wp:extent cx="180975" cy="180975"/>
            <wp:effectExtent l="0" t="0" r="0" b="0"/>
            <wp:docPr id="8" name="Рисунок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7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«Иерархия нормативной документации в части технологических трубопроводов на ОПО нефтеперерабатывающих комплексов».</w:t>
      </w:r>
    </w:p>
    <w:p>
      <w:pPr>
        <w:pStyle w:val="Normal"/>
        <w:spacing w:lineRule="auto" w:line="240" w:before="0" w:after="0"/>
        <w:jc w:val="both"/>
        <w:rPr/>
      </w:pPr>
      <w:hyperlink r:id="rId17">
        <w:r>
          <w:rPr>
            <w:rStyle w:val="Style15"/>
            <w:rFonts w:cs="Times New Roman" w:ascii="Times New Roman" w:hAnsi="Times New Roman"/>
            <w:sz w:val="24"/>
            <w:szCs w:val="24"/>
          </w:rPr>
          <w:t>Консультация от 17.08.2021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  <w:drawing>
          <wp:inline distT="0" distB="9525" distL="0" distR="0">
            <wp:extent cx="180975" cy="180975"/>
            <wp:effectExtent l="0" t="0" r="0" b="0"/>
            <wp:docPr id="9" name="Рисунок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«Дополнительные требования к визуальному и измерительному контролю для Газпрома».</w:t>
      </w:r>
    </w:p>
    <w:p>
      <w:pPr>
        <w:pStyle w:val="Normal"/>
        <w:spacing w:lineRule="auto" w:line="240" w:before="0" w:after="0"/>
        <w:jc w:val="both"/>
        <w:rPr/>
      </w:pPr>
      <w:hyperlink r:id="rId19">
        <w:r>
          <w:rPr>
            <w:rStyle w:val="Style15"/>
            <w:rFonts w:cs="Times New Roman" w:ascii="Times New Roman" w:hAnsi="Times New Roman"/>
            <w:sz w:val="24"/>
            <w:szCs w:val="24"/>
          </w:rPr>
          <w:t>Консультация от 17.08.2021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  <w:drawing>
          <wp:inline distT="0" distB="9525" distL="0" distR="0">
            <wp:extent cx="180975" cy="180975"/>
            <wp:effectExtent l="0" t="0" r="0" b="0"/>
            <wp:docPr id="10" name="Рисунок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5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«Акты испытания газопровода оформляются сразу после проведения испытаний».</w:t>
      </w:r>
    </w:p>
    <w:p>
      <w:pPr>
        <w:pStyle w:val="Normal"/>
        <w:spacing w:lineRule="auto" w:line="240" w:before="0" w:after="0"/>
        <w:jc w:val="both"/>
        <w:rPr/>
      </w:pPr>
      <w:hyperlink r:id="rId21">
        <w:r>
          <w:rPr>
            <w:rStyle w:val="Style15"/>
            <w:rFonts w:cs="Times New Roman" w:ascii="Times New Roman" w:hAnsi="Times New Roman"/>
            <w:sz w:val="24"/>
            <w:szCs w:val="24"/>
          </w:rPr>
          <w:t>Консультация от 17.08.2021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  <w:drawing>
          <wp:inline distT="0" distB="9525" distL="0" distR="0">
            <wp:extent cx="180975" cy="180975"/>
            <wp:effectExtent l="0" t="0" r="0" b="0"/>
            <wp:docPr id="11" name="Рисунок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4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«Об эпизодическом использовании сборно-разборного технологического трубопровода ПМТП-150 для перекачки сырой нефти от танкера до склада ГСМ».</w:t>
      </w:r>
    </w:p>
    <w:p>
      <w:pPr>
        <w:pStyle w:val="Normal"/>
        <w:spacing w:lineRule="auto" w:line="240" w:before="0" w:after="0"/>
        <w:jc w:val="both"/>
        <w:rPr/>
      </w:pPr>
      <w:hyperlink r:id="rId23">
        <w:r>
          <w:rPr>
            <w:rStyle w:val="Style15"/>
            <w:rFonts w:cs="Times New Roman" w:ascii="Times New Roman" w:hAnsi="Times New Roman"/>
            <w:sz w:val="24"/>
            <w:szCs w:val="24"/>
          </w:rPr>
          <w:t>Консультация от 17.08.2021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  <w:drawing>
          <wp:inline distT="0" distB="9525" distL="0" distR="0">
            <wp:extent cx="180975" cy="180975"/>
            <wp:effectExtent l="0" t="0" r="0" b="0"/>
            <wp:docPr id="12" name="Рисунок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3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«Сроки проведения работ по ликвидации разливов нефтепродуктов».</w:t>
      </w:r>
    </w:p>
    <w:p>
      <w:pPr>
        <w:pStyle w:val="Normal"/>
        <w:spacing w:lineRule="auto" w:line="240" w:before="0" w:after="0"/>
        <w:jc w:val="both"/>
        <w:rPr/>
      </w:pPr>
      <w:hyperlink r:id="rId25">
        <w:r>
          <w:rPr>
            <w:rStyle w:val="Style15"/>
            <w:rFonts w:cs="Times New Roman" w:ascii="Times New Roman" w:hAnsi="Times New Roman"/>
            <w:sz w:val="24"/>
            <w:szCs w:val="24"/>
          </w:rPr>
          <w:t>Консультация от 11.08.2021</w:t>
        </w:r>
      </w:hyperlink>
      <w:bookmarkStart w:id="0" w:name="_GoBack"/>
      <w:bookmarkEnd w:id="0"/>
      <w:r>
        <w:rPr>
          <w:rFonts w:cs="Times New Roman" w:ascii="Times New Roman" w:hAnsi="Times New Roman"/>
          <w:vanish/>
          <w:color w:val="000000"/>
          <w:sz w:val="24"/>
          <w:szCs w:val="24"/>
        </w:rPr>
        <w:t>#E</w:t>
      </w:r>
      <w:r>
        <w:rPr>
          <w:rFonts w:cs="Arial" w:ascii="Arial" w:hAnsi="Arial"/>
          <w:vanish/>
          <w:color w:val="000000"/>
          <w:sz w:val="18"/>
          <w:szCs w:val="18"/>
        </w:rPr>
        <w:t>#E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vanish/>
          <w:color w:val="000000"/>
          <w:sz w:val="18"/>
          <w:szCs w:val="18"/>
        </w:rPr>
        <w:t>#E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536a2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ef026a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536a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3f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kodeks://link/d?nd=1200180422&amp;nh=3" TargetMode="External"/><Relationship Id="rId4" Type="http://schemas.openxmlformats.org/officeDocument/2006/relationships/image" Target="media/image2.png"/><Relationship Id="rId5" Type="http://schemas.openxmlformats.org/officeDocument/2006/relationships/hyperlink" Target="kodeks://link/d?nd=1200180442&amp;nh=3" TargetMode="External"/><Relationship Id="rId6" Type="http://schemas.openxmlformats.org/officeDocument/2006/relationships/image" Target="media/image3.png"/><Relationship Id="rId7" Type="http://schemas.openxmlformats.org/officeDocument/2006/relationships/hyperlink" Target="kodeks://link/d?nd=1200180444&amp;nh=3" TargetMode="External"/><Relationship Id="rId8" Type="http://schemas.openxmlformats.org/officeDocument/2006/relationships/image" Target="media/image4.png"/><Relationship Id="rId9" Type="http://schemas.openxmlformats.org/officeDocument/2006/relationships/hyperlink" Target="kodeks://link/d?nd=1200180502&amp;nh=3" TargetMode="External"/><Relationship Id="rId10" Type="http://schemas.openxmlformats.org/officeDocument/2006/relationships/image" Target="media/image5.png"/><Relationship Id="rId11" Type="http://schemas.openxmlformats.org/officeDocument/2006/relationships/hyperlink" Target="kodeks://link/d?nd=607771873" TargetMode="External"/><Relationship Id="rId12" Type="http://schemas.openxmlformats.org/officeDocument/2006/relationships/image" Target="media/image6.png"/><Relationship Id="rId13" Type="http://schemas.openxmlformats.org/officeDocument/2006/relationships/hyperlink" Target="kodeks://link/d?nd=608188953" TargetMode="External"/><Relationship Id="rId14" Type="http://schemas.openxmlformats.org/officeDocument/2006/relationships/image" Target="media/image7.png"/><Relationship Id="rId15" Type="http://schemas.openxmlformats.org/officeDocument/2006/relationships/hyperlink" Target="kodeks://link/d?nd=608188954" TargetMode="External"/><Relationship Id="rId16" Type="http://schemas.openxmlformats.org/officeDocument/2006/relationships/image" Target="media/image8.png"/><Relationship Id="rId17" Type="http://schemas.openxmlformats.org/officeDocument/2006/relationships/hyperlink" Target="kodeks://link/d?nd=608188893&amp;point=mark=2CQFCE72AKG71T10ROLSK3VVVVVU3SSTFSK08RUGI93LUMFJI00002O6" TargetMode="External"/><Relationship Id="rId18" Type="http://schemas.openxmlformats.org/officeDocument/2006/relationships/image" Target="media/image9.png"/><Relationship Id="rId19" Type="http://schemas.openxmlformats.org/officeDocument/2006/relationships/hyperlink" Target="kodeks://link/d?nd=608188894" TargetMode="External"/><Relationship Id="rId20" Type="http://schemas.openxmlformats.org/officeDocument/2006/relationships/image" Target="media/image10.png"/><Relationship Id="rId21" Type="http://schemas.openxmlformats.org/officeDocument/2006/relationships/hyperlink" Target="kodeks://link/d?nd=608188895&amp;point=mark=3673G8P3VVVOU626JEI7136MUR2C2MTPIH53SAEVRR3DGA0170000004" TargetMode="External"/><Relationship Id="rId22" Type="http://schemas.openxmlformats.org/officeDocument/2006/relationships/image" Target="media/image11.png"/><Relationship Id="rId23" Type="http://schemas.openxmlformats.org/officeDocument/2006/relationships/hyperlink" Target="kodeks://link/d?nd=608225231&amp;point=mark=3673G8P3AOHPIS0TM0QUR3HG7F9T133CA652T3LTK33A48ALV00002O6" TargetMode="External"/><Relationship Id="rId24" Type="http://schemas.openxmlformats.org/officeDocument/2006/relationships/image" Target="media/image12.png"/><Relationship Id="rId25" Type="http://schemas.openxmlformats.org/officeDocument/2006/relationships/hyperlink" Target="kodeks://link/d?nd=608229308&amp;point=mark=3673G8P20EBBGO31LUVKU000003A286FNON000032I0000O9J0000NM0" TargetMode="Externa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LibreOffice/6.2.3.2$Windows_x86 LibreOffice_project/aecc05fe267cc68dde00352a451aa867b3b546ac</Application>
  <Pages>1</Pages>
  <Words>202</Words>
  <Characters>1562</Characters>
  <CharactersWithSpaces>1759</CharactersWithSpaces>
  <Paragraphs>21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2021-08-24T12:41:00Z</dcterms:created>
  <dc:creator>Polyanskiy Mark Viktorovich</dc:creator>
  <dc:description/>
  <dc:language>ru-RU</dc:language>
  <cp:lastModifiedBy/>
  <dcterms:modified xsi:type="dcterms:W3CDTF">2021-09-06T17:32:32Z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